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shd w:val="clear" w:color="auto" w:fill="BFBFBF"/>
        <w:tblLook w:val="04A0"/>
      </w:tblPr>
      <w:tblGrid>
        <w:gridCol w:w="4606"/>
        <w:gridCol w:w="4606"/>
      </w:tblGrid>
      <w:tr w:rsidR="00A95677" w:rsidRPr="002D1DB9" w:rsidTr="002D1DB9">
        <w:trPr>
          <w:trHeight w:val="1474"/>
        </w:trPr>
        <w:tc>
          <w:tcPr>
            <w:tcW w:w="4606" w:type="dxa"/>
            <w:shd w:val="clear" w:color="auto" w:fill="BFBFBF"/>
            <w:vAlign w:val="center"/>
          </w:tcPr>
          <w:p w:rsidR="00007FA9" w:rsidRPr="002D1DB9" w:rsidRDefault="001D3D12" w:rsidP="002D1DB9">
            <w:pPr>
              <w:jc w:val="both"/>
              <w:rPr>
                <w:rFonts w:ascii="Arial" w:hAnsi="Arial" w:cs="Arial"/>
                <w:sz w:val="22"/>
                <w:szCs w:val="22"/>
                <w:u w:val="single"/>
                <w:lang w:val="fr-CH"/>
              </w:rPr>
            </w:pPr>
            <w:r>
              <w:rPr>
                <w:rFonts w:ascii="Arial" w:hAnsi="Arial" w:cs="Arial"/>
                <w:noProof/>
                <w:sz w:val="22"/>
                <w:szCs w:val="22"/>
                <w:lang w:val="fr-CH" w:eastAsia="fr-CH"/>
              </w:rPr>
              <w:drawing>
                <wp:inline distT="0" distB="0" distL="0" distR="0">
                  <wp:extent cx="1811655" cy="83693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811655" cy="836930"/>
                          </a:xfrm>
                          <a:prstGeom prst="rect">
                            <a:avLst/>
                          </a:prstGeom>
                          <a:noFill/>
                          <a:ln w="9525">
                            <a:noFill/>
                            <a:miter lim="800000"/>
                            <a:headEnd/>
                            <a:tailEnd/>
                          </a:ln>
                        </pic:spPr>
                      </pic:pic>
                    </a:graphicData>
                  </a:graphic>
                </wp:inline>
              </w:drawing>
            </w:r>
          </w:p>
        </w:tc>
        <w:tc>
          <w:tcPr>
            <w:tcW w:w="4606" w:type="dxa"/>
            <w:shd w:val="clear" w:color="auto" w:fill="BFBFBF"/>
            <w:vAlign w:val="center"/>
          </w:tcPr>
          <w:p w:rsidR="00D0625B" w:rsidRPr="002D1DB9" w:rsidRDefault="00D0625B" w:rsidP="002D1DB9">
            <w:pPr>
              <w:jc w:val="right"/>
              <w:rPr>
                <w:rFonts w:ascii="Arial" w:hAnsi="Arial" w:cs="Arial"/>
                <w:b/>
                <w:sz w:val="40"/>
                <w:szCs w:val="22"/>
                <w:lang w:val="fr-CH"/>
              </w:rPr>
            </w:pPr>
            <w:r>
              <w:rPr>
                <w:rFonts w:ascii="Arial" w:hAnsi="Arial" w:cs="Arial"/>
                <w:b/>
                <w:sz w:val="40"/>
                <w:szCs w:val="22"/>
                <w:lang w:val="fr-CH"/>
              </w:rPr>
              <w:t>La mise en œuvre</w:t>
            </w:r>
            <w:r>
              <w:rPr>
                <w:rFonts w:ascii="Arial" w:hAnsi="Arial" w:cs="Arial"/>
                <w:b/>
                <w:sz w:val="40"/>
                <w:szCs w:val="22"/>
                <w:lang w:val="fr-CH"/>
              </w:rPr>
              <w:br/>
              <w:t xml:space="preserve">du PER </w:t>
            </w:r>
          </w:p>
          <w:p w:rsidR="00007FA9" w:rsidRPr="00D0625B" w:rsidRDefault="00007FA9" w:rsidP="00D0625B">
            <w:pPr>
              <w:jc w:val="right"/>
              <w:rPr>
                <w:rFonts w:ascii="Arial" w:hAnsi="Arial" w:cs="Arial"/>
                <w:lang w:val="fr-CH"/>
              </w:rPr>
            </w:pPr>
            <w:r w:rsidRPr="00D0625B">
              <w:rPr>
                <w:rFonts w:ascii="Arial" w:hAnsi="Arial" w:cs="Arial"/>
                <w:lang w:val="fr-CH"/>
              </w:rPr>
              <w:t>(14 août 201</w:t>
            </w:r>
            <w:r w:rsidR="00D0625B" w:rsidRPr="00D0625B">
              <w:rPr>
                <w:rFonts w:ascii="Arial" w:hAnsi="Arial" w:cs="Arial"/>
                <w:lang w:val="fr-CH"/>
              </w:rPr>
              <w:t>3</w:t>
            </w:r>
            <w:r w:rsidRPr="00D0625B">
              <w:rPr>
                <w:rFonts w:ascii="Arial" w:hAnsi="Arial" w:cs="Arial"/>
                <w:lang w:val="fr-CH"/>
              </w:rPr>
              <w:t>)</w:t>
            </w:r>
          </w:p>
        </w:tc>
      </w:tr>
    </w:tbl>
    <w:p w:rsidR="00007FA9" w:rsidRPr="00930D7D" w:rsidRDefault="00007FA9" w:rsidP="00C95717">
      <w:pPr>
        <w:jc w:val="both"/>
        <w:rPr>
          <w:rFonts w:ascii="Arial" w:hAnsi="Arial" w:cs="Arial"/>
          <w:sz w:val="20"/>
          <w:szCs w:val="22"/>
          <w:u w:val="single"/>
          <w:lang w:val="fr-CH"/>
        </w:rPr>
      </w:pPr>
    </w:p>
    <w:p w:rsidR="00C95717" w:rsidRDefault="00C95717" w:rsidP="00C95717">
      <w:pPr>
        <w:jc w:val="both"/>
        <w:rPr>
          <w:rFonts w:ascii="Arial" w:hAnsi="Arial" w:cs="Arial"/>
          <w:sz w:val="20"/>
          <w:szCs w:val="22"/>
          <w:u w:val="single"/>
          <w:lang w:val="fr-CH"/>
        </w:rPr>
      </w:pPr>
    </w:p>
    <w:p w:rsidR="00D0625B" w:rsidRPr="00930D7D" w:rsidRDefault="00D0625B" w:rsidP="00C95717">
      <w:pPr>
        <w:jc w:val="both"/>
        <w:rPr>
          <w:rFonts w:ascii="Arial" w:hAnsi="Arial" w:cs="Arial"/>
          <w:sz w:val="20"/>
          <w:szCs w:val="22"/>
          <w:u w:val="single"/>
          <w:lang w:val="fr-CH"/>
        </w:rPr>
      </w:pPr>
    </w:p>
    <w:p w:rsidR="00D0625B" w:rsidRPr="00A046F6" w:rsidRDefault="00A046F6" w:rsidP="00D0625B">
      <w:pPr>
        <w:rPr>
          <w:rFonts w:ascii="Arial" w:hAnsi="Arial" w:cs="Arial"/>
          <w:b/>
          <w:sz w:val="28"/>
          <w:szCs w:val="28"/>
          <w:u w:val="single"/>
        </w:rPr>
      </w:pPr>
      <w:r w:rsidRPr="00A046F6">
        <w:rPr>
          <w:rFonts w:ascii="Arial" w:hAnsi="Arial" w:cs="Arial"/>
          <w:b/>
          <w:sz w:val="28"/>
          <w:szCs w:val="28"/>
          <w:u w:val="single"/>
        </w:rPr>
        <w:t>Où sont les difficultés ?</w:t>
      </w:r>
    </w:p>
    <w:p w:rsidR="00D0625B" w:rsidRPr="00A046F6" w:rsidRDefault="00D0625B" w:rsidP="00D0625B">
      <w:pPr>
        <w:rPr>
          <w:rFonts w:ascii="Arial" w:hAnsi="Arial" w:cs="Arial"/>
          <w:u w:val="single"/>
        </w:rPr>
      </w:pPr>
    </w:p>
    <w:p w:rsidR="00D0625B" w:rsidRPr="00A046F6" w:rsidRDefault="00D0625B" w:rsidP="00D0625B">
      <w:pPr>
        <w:rPr>
          <w:rFonts w:ascii="Arial" w:hAnsi="Arial" w:cs="Arial"/>
        </w:rPr>
      </w:pPr>
      <w:r w:rsidRPr="00A046F6">
        <w:rPr>
          <w:rFonts w:ascii="Arial" w:hAnsi="Arial" w:cs="Arial"/>
        </w:rPr>
        <w:t>La mise en œuvre du PER ne saurait être assimilée à la mise en œuvre d’un plan d’études comme un autre.</w:t>
      </w:r>
    </w:p>
    <w:p w:rsidR="00D0625B" w:rsidRPr="00A046F6" w:rsidRDefault="00D0625B" w:rsidP="00D0625B">
      <w:pPr>
        <w:rPr>
          <w:rFonts w:ascii="Arial" w:hAnsi="Arial" w:cs="Arial"/>
        </w:rPr>
      </w:pPr>
      <w:r w:rsidRPr="00A046F6">
        <w:rPr>
          <w:rFonts w:ascii="Arial" w:hAnsi="Arial" w:cs="Arial"/>
        </w:rPr>
        <w:t>Le PER est un plan d’études d’un nouveau type, et il est salué comme tel par de nombreux spécialistes qui se sont exprimés. Il ne fait pas la liste de ce que l’enseignant doit transmettre, mais indique ce que l’élève doit acquérir, qu’il s’agisse de connaissances, de compétences ou de comportements éducatifs.</w:t>
      </w:r>
    </w:p>
    <w:p w:rsidR="00D0625B" w:rsidRPr="00A046F6" w:rsidRDefault="00D0625B" w:rsidP="00D0625B">
      <w:pPr>
        <w:rPr>
          <w:rFonts w:ascii="Arial" w:hAnsi="Arial" w:cs="Arial"/>
        </w:rPr>
      </w:pPr>
      <w:r w:rsidRPr="00A046F6">
        <w:rPr>
          <w:rFonts w:ascii="Arial" w:hAnsi="Arial" w:cs="Arial"/>
        </w:rPr>
        <w:t xml:space="preserve">C’est donc un « contrat » qui nécessite une approche beaucoup plus professionnelle et réflexive. Il s’agit pour cela de s’adresser à des gens suffisamment formés (en formation initiale </w:t>
      </w:r>
      <w:r w:rsidR="00D909BD">
        <w:rPr>
          <w:rFonts w:ascii="Arial" w:hAnsi="Arial" w:cs="Arial"/>
        </w:rPr>
        <w:t xml:space="preserve">et </w:t>
      </w:r>
      <w:r w:rsidRPr="00A046F6">
        <w:rPr>
          <w:rFonts w:ascii="Arial" w:hAnsi="Arial" w:cs="Arial"/>
        </w:rPr>
        <w:t xml:space="preserve">continue), dans un cadre qui leur garantisse une certaine marge de manœuvre et le respect d’une </w:t>
      </w:r>
      <w:r w:rsidR="00D909BD">
        <w:rPr>
          <w:rFonts w:ascii="Arial" w:hAnsi="Arial" w:cs="Arial"/>
        </w:rPr>
        <w:t>réelle</w:t>
      </w:r>
      <w:r w:rsidRPr="00A046F6">
        <w:rPr>
          <w:rFonts w:ascii="Arial" w:hAnsi="Arial" w:cs="Arial"/>
        </w:rPr>
        <w:t xml:space="preserve"> autonomie pour pouvoir exercer leurs responsabilités.</w:t>
      </w:r>
    </w:p>
    <w:p w:rsidR="00D0625B" w:rsidRPr="00A046F6" w:rsidRDefault="00D0625B" w:rsidP="00D0625B">
      <w:pPr>
        <w:rPr>
          <w:rFonts w:ascii="Arial" w:hAnsi="Arial" w:cs="Arial"/>
        </w:rPr>
      </w:pPr>
    </w:p>
    <w:p w:rsidR="00D0625B" w:rsidRPr="00A046F6" w:rsidRDefault="00D0625B" w:rsidP="00D0625B">
      <w:pPr>
        <w:rPr>
          <w:rFonts w:ascii="Arial" w:hAnsi="Arial" w:cs="Arial"/>
          <w:b/>
          <w:sz w:val="28"/>
          <w:szCs w:val="28"/>
        </w:rPr>
      </w:pPr>
      <w:r w:rsidRPr="00A046F6">
        <w:rPr>
          <w:rFonts w:ascii="Arial" w:hAnsi="Arial" w:cs="Arial"/>
          <w:b/>
          <w:sz w:val="28"/>
          <w:szCs w:val="28"/>
          <w:u w:val="single"/>
        </w:rPr>
        <w:t>Des enseignants traités comme des exécutants</w:t>
      </w:r>
    </w:p>
    <w:p w:rsidR="00D0625B" w:rsidRPr="00A046F6" w:rsidRDefault="00D0625B" w:rsidP="00D0625B">
      <w:pPr>
        <w:rPr>
          <w:rFonts w:ascii="Arial" w:hAnsi="Arial" w:cs="Arial"/>
        </w:rPr>
      </w:pPr>
    </w:p>
    <w:p w:rsidR="00D0625B" w:rsidRPr="00A046F6" w:rsidRDefault="00D0625B" w:rsidP="00D0625B">
      <w:pPr>
        <w:rPr>
          <w:rFonts w:ascii="Arial" w:hAnsi="Arial" w:cs="Arial"/>
        </w:rPr>
      </w:pPr>
      <w:r w:rsidRPr="00A046F6">
        <w:rPr>
          <w:rFonts w:ascii="Arial" w:hAnsi="Arial" w:cs="Arial"/>
        </w:rPr>
        <w:t>Dans certains cantons, suivant les options du département et la qualité de la hiérarchie immédiate, les enseignant-e-s sont traités en exécutants qui doivent appliquer fidèlement les consignes qui leur sont données. Mettre l’accent sur l’uniformité administrative, c’est revenir à la logique des listes d’objectifs à faire passer et réduire le problème pédagogique à sa plus simple expression. Les attentes et les pressions qui pèsent sur les enseignant-e-s dans ce cas de figure sont d’autant plus insupportables que la nécessaire appropriation des objectifs du PER n’a pas été faite par celles et ceux qui doivent en être le principal moteur de mise en œuvre.</w:t>
      </w:r>
    </w:p>
    <w:p w:rsidR="00D0625B" w:rsidRPr="00A046F6" w:rsidRDefault="00D0625B" w:rsidP="00D0625B">
      <w:pPr>
        <w:rPr>
          <w:rFonts w:ascii="Arial" w:hAnsi="Arial" w:cs="Arial"/>
        </w:rPr>
      </w:pPr>
    </w:p>
    <w:p w:rsidR="00D0625B" w:rsidRPr="00A046F6" w:rsidRDefault="00D0625B" w:rsidP="00D0625B">
      <w:pPr>
        <w:rPr>
          <w:rFonts w:ascii="Arial" w:hAnsi="Arial" w:cs="Arial"/>
          <w:b/>
          <w:sz w:val="28"/>
          <w:szCs w:val="28"/>
        </w:rPr>
      </w:pPr>
      <w:r w:rsidRPr="00A046F6">
        <w:rPr>
          <w:rFonts w:ascii="Arial" w:hAnsi="Arial" w:cs="Arial"/>
          <w:b/>
          <w:sz w:val="28"/>
          <w:szCs w:val="28"/>
          <w:u w:val="single"/>
        </w:rPr>
        <w:t>Des moyens d’enseignement manquants ou inadéquats</w:t>
      </w:r>
    </w:p>
    <w:p w:rsidR="00D0625B" w:rsidRPr="00A046F6" w:rsidRDefault="00D0625B" w:rsidP="00D0625B">
      <w:pPr>
        <w:rPr>
          <w:rFonts w:ascii="Arial" w:hAnsi="Arial" w:cs="Arial"/>
        </w:rPr>
      </w:pPr>
    </w:p>
    <w:p w:rsidR="00D0625B" w:rsidRPr="00A046F6" w:rsidRDefault="00D0625B" w:rsidP="00D0625B">
      <w:pPr>
        <w:rPr>
          <w:rFonts w:ascii="Arial" w:hAnsi="Arial" w:cs="Arial"/>
        </w:rPr>
      </w:pPr>
      <w:r w:rsidRPr="00A046F6">
        <w:rPr>
          <w:rFonts w:ascii="Arial" w:hAnsi="Arial" w:cs="Arial"/>
        </w:rPr>
        <w:t>L’idéal serait de pouvoir bénéficier dans tous les domaines du PER</w:t>
      </w:r>
      <w:r w:rsidR="00D909BD">
        <w:rPr>
          <w:rFonts w:ascii="Arial" w:hAnsi="Arial" w:cs="Arial"/>
        </w:rPr>
        <w:t>,</w:t>
      </w:r>
      <w:r w:rsidRPr="00A046F6">
        <w:rPr>
          <w:rFonts w:ascii="Arial" w:hAnsi="Arial" w:cs="Arial"/>
        </w:rPr>
        <w:t xml:space="preserve"> et à tous les niveaux</w:t>
      </w:r>
      <w:r w:rsidR="00D909BD">
        <w:rPr>
          <w:rFonts w:ascii="Arial" w:hAnsi="Arial" w:cs="Arial"/>
        </w:rPr>
        <w:t>,</w:t>
      </w:r>
      <w:r w:rsidRPr="00A046F6">
        <w:rPr>
          <w:rFonts w:ascii="Arial" w:hAnsi="Arial" w:cs="Arial"/>
        </w:rPr>
        <w:t xml:space="preserve"> de moyens d’enseignements fonctionnels et complètement compatibles avec les objectifs. Pour cela, il eut fallu que la CIIP ait mis en chantier lesdits moyens depuis longtemps. Ce n’est évidemment pas le cas et de nombreuses facettes du plan d’études ne disposent d’aucun moyen d’enseignement</w:t>
      </w:r>
      <w:r w:rsidR="00D909BD">
        <w:rPr>
          <w:rFonts w:ascii="Arial" w:hAnsi="Arial" w:cs="Arial"/>
        </w:rPr>
        <w:t>, tandis que</w:t>
      </w:r>
      <w:r w:rsidRPr="00A046F6">
        <w:rPr>
          <w:rFonts w:ascii="Arial" w:hAnsi="Arial" w:cs="Arial"/>
        </w:rPr>
        <w:t xml:space="preserve"> d’autres </w:t>
      </w:r>
      <w:r w:rsidR="00D909BD">
        <w:rPr>
          <w:rFonts w:ascii="Arial" w:hAnsi="Arial" w:cs="Arial"/>
        </w:rPr>
        <w:t xml:space="preserve">bénéficient </w:t>
      </w:r>
      <w:r w:rsidRPr="00A046F6">
        <w:rPr>
          <w:rFonts w:ascii="Arial" w:hAnsi="Arial" w:cs="Arial"/>
        </w:rPr>
        <w:t>de moyens ne recouvrant qu’en partie les objectifs du PER.</w:t>
      </w:r>
    </w:p>
    <w:p w:rsidR="00D0625B" w:rsidRPr="00A046F6" w:rsidRDefault="00D0625B" w:rsidP="00D0625B">
      <w:pPr>
        <w:rPr>
          <w:rFonts w:ascii="Arial" w:hAnsi="Arial" w:cs="Arial"/>
        </w:rPr>
      </w:pPr>
      <w:r w:rsidRPr="00A046F6">
        <w:rPr>
          <w:rFonts w:ascii="Arial" w:hAnsi="Arial" w:cs="Arial"/>
        </w:rPr>
        <w:t xml:space="preserve">D’où l’attente, pas toujours clairement reconnue, d’une grande part de gestion de ces problématiques par les enseignant-e-s. Comme l’information et la formation à ces nouvelles donnes sont très diverses, parfois mal ciblées, parfois très insuffisantes selon les cantons, il s’ensuit un volume de travail important pour les professionnels, qui justifie qu’on leur laisse plus de temps et de marge de manœuvre pour y faire face. </w:t>
      </w:r>
    </w:p>
    <w:p w:rsidR="00D0625B" w:rsidRPr="00A046F6" w:rsidRDefault="00D0625B" w:rsidP="00D0625B">
      <w:pPr>
        <w:rPr>
          <w:rFonts w:ascii="Arial" w:hAnsi="Arial" w:cs="Arial"/>
        </w:rPr>
      </w:pPr>
      <w:r w:rsidRPr="00A046F6">
        <w:rPr>
          <w:rFonts w:ascii="Arial" w:hAnsi="Arial" w:cs="Arial"/>
        </w:rPr>
        <w:t>Pour des raisons de confort administratif, certains cantons imposent l’utilisation du moyen d’enseignement même inadéquat, en lieu et place du respect des objectifs du PER.</w:t>
      </w:r>
    </w:p>
    <w:p w:rsidR="00D0625B" w:rsidRPr="00A046F6" w:rsidRDefault="00D0625B" w:rsidP="00D0625B">
      <w:pPr>
        <w:rPr>
          <w:rFonts w:ascii="Arial" w:hAnsi="Arial" w:cs="Arial"/>
        </w:rPr>
      </w:pPr>
    </w:p>
    <w:p w:rsidR="00D0625B" w:rsidRPr="00A046F6" w:rsidRDefault="00D0625B" w:rsidP="00D0625B">
      <w:pPr>
        <w:rPr>
          <w:rFonts w:ascii="Arial" w:hAnsi="Arial" w:cs="Arial"/>
          <w:b/>
          <w:sz w:val="28"/>
          <w:szCs w:val="28"/>
        </w:rPr>
      </w:pPr>
      <w:r w:rsidRPr="00A046F6">
        <w:rPr>
          <w:rFonts w:ascii="Arial" w:hAnsi="Arial" w:cs="Arial"/>
          <w:b/>
          <w:sz w:val="28"/>
          <w:szCs w:val="28"/>
          <w:u w:val="single"/>
        </w:rPr>
        <w:t>Des procédures d’évaluation inappropriées</w:t>
      </w:r>
    </w:p>
    <w:p w:rsidR="00D0625B" w:rsidRPr="00A046F6" w:rsidRDefault="00D0625B" w:rsidP="00D0625B">
      <w:pPr>
        <w:rPr>
          <w:rFonts w:ascii="Arial" w:hAnsi="Arial" w:cs="Arial"/>
        </w:rPr>
      </w:pPr>
    </w:p>
    <w:p w:rsidR="00D0625B" w:rsidRPr="00A046F6" w:rsidRDefault="00D0625B" w:rsidP="00D0625B">
      <w:pPr>
        <w:rPr>
          <w:rFonts w:ascii="Arial" w:hAnsi="Arial" w:cs="Arial"/>
        </w:rPr>
      </w:pPr>
      <w:r w:rsidRPr="00A046F6">
        <w:rPr>
          <w:rFonts w:ascii="Arial" w:hAnsi="Arial" w:cs="Arial"/>
        </w:rPr>
        <w:t xml:space="preserve">L’évaluation du travail des élèves relevant de la sphère cantonale, la CIIP s’est prudemment abstenue de prôner quoi que ce soit en la matière. Les enseignant-e-s sont donc souvent livrés à eux-mêmes face aux incohérences entre une évaluation héritée ou imposée et des objectifs généreux et porteurs dont l’atteinte est mis à mal par les </w:t>
      </w:r>
      <w:r w:rsidR="00D909BD">
        <w:rPr>
          <w:rFonts w:ascii="Arial" w:hAnsi="Arial" w:cs="Arial"/>
        </w:rPr>
        <w:t>contraintes soi-disant</w:t>
      </w:r>
      <w:r w:rsidRPr="00A046F6">
        <w:rPr>
          <w:rFonts w:ascii="Arial" w:hAnsi="Arial" w:cs="Arial"/>
        </w:rPr>
        <w:t xml:space="preserve"> incontournables de l’évaluation traditionnelle. </w:t>
      </w:r>
    </w:p>
    <w:p w:rsidR="00D0625B" w:rsidRDefault="00D0625B" w:rsidP="00D0625B">
      <w:pPr>
        <w:rPr>
          <w:rFonts w:ascii="Arial" w:hAnsi="Arial" w:cs="Arial"/>
        </w:rPr>
      </w:pPr>
      <w:r w:rsidRPr="00A046F6">
        <w:rPr>
          <w:rFonts w:ascii="Arial" w:hAnsi="Arial" w:cs="Arial"/>
        </w:rPr>
        <w:t>Les enseignant-e-s les plus motivés et les plus engagés finissent par renoncer, faute de décision suffisamment courageuse</w:t>
      </w:r>
      <w:r w:rsidR="00D909BD">
        <w:rPr>
          <w:rFonts w:ascii="Arial" w:hAnsi="Arial" w:cs="Arial"/>
        </w:rPr>
        <w:t>,</w:t>
      </w:r>
      <w:r w:rsidRPr="00A046F6">
        <w:rPr>
          <w:rFonts w:ascii="Arial" w:hAnsi="Arial" w:cs="Arial"/>
        </w:rPr>
        <w:t xml:space="preserve"> </w:t>
      </w:r>
      <w:r w:rsidR="00D909BD">
        <w:rPr>
          <w:rFonts w:ascii="Arial" w:hAnsi="Arial" w:cs="Arial"/>
        </w:rPr>
        <w:t xml:space="preserve">à prendre </w:t>
      </w:r>
      <w:r w:rsidRPr="00A046F6">
        <w:rPr>
          <w:rFonts w:ascii="Arial" w:hAnsi="Arial" w:cs="Arial"/>
        </w:rPr>
        <w:t>au niveau cantonal.</w:t>
      </w:r>
    </w:p>
    <w:p w:rsidR="001D3D12" w:rsidRPr="00A046F6" w:rsidRDefault="001D3D12" w:rsidP="00D0625B">
      <w:pPr>
        <w:rPr>
          <w:rFonts w:ascii="Arial" w:hAnsi="Arial" w:cs="Arial"/>
        </w:rPr>
      </w:pPr>
      <w:r>
        <w:rPr>
          <w:rFonts w:ascii="Arial" w:hAnsi="Arial" w:cs="Arial"/>
        </w:rPr>
        <w:t>A noter aussi que l’importance donnée aux formes traditionnelle d’évaluation dans la plupart des cantons pose le problème des élèves qui bénéficient de procédures d’intégration ou d’inclusion. La contradiction inclusion/sélection repose le plus souvent sur les épaules des enseignant-e-s.</w:t>
      </w:r>
    </w:p>
    <w:p w:rsidR="00D0625B" w:rsidRPr="00A046F6" w:rsidRDefault="00D0625B" w:rsidP="00D0625B">
      <w:pPr>
        <w:rPr>
          <w:rFonts w:ascii="Arial" w:hAnsi="Arial" w:cs="Arial"/>
        </w:rPr>
      </w:pPr>
    </w:p>
    <w:p w:rsidR="00D0625B" w:rsidRPr="00A046F6" w:rsidRDefault="00D0625B" w:rsidP="00D0625B">
      <w:pPr>
        <w:rPr>
          <w:rFonts w:ascii="Arial" w:hAnsi="Arial" w:cs="Arial"/>
          <w:b/>
          <w:sz w:val="28"/>
          <w:szCs w:val="28"/>
        </w:rPr>
      </w:pPr>
      <w:r w:rsidRPr="00A046F6">
        <w:rPr>
          <w:rFonts w:ascii="Arial" w:hAnsi="Arial" w:cs="Arial"/>
          <w:b/>
          <w:sz w:val="28"/>
          <w:szCs w:val="28"/>
          <w:u w:val="single"/>
        </w:rPr>
        <w:t>Des ressources et des formations insuffisantes</w:t>
      </w:r>
    </w:p>
    <w:p w:rsidR="00D0625B" w:rsidRPr="00A046F6" w:rsidRDefault="00D0625B" w:rsidP="00D0625B">
      <w:pPr>
        <w:rPr>
          <w:rFonts w:ascii="Arial" w:hAnsi="Arial" w:cs="Arial"/>
        </w:rPr>
      </w:pPr>
    </w:p>
    <w:p w:rsidR="00D0625B" w:rsidRPr="00A046F6" w:rsidRDefault="00D0625B" w:rsidP="00D0625B">
      <w:pPr>
        <w:rPr>
          <w:rFonts w:ascii="Arial" w:hAnsi="Arial" w:cs="Arial"/>
        </w:rPr>
      </w:pPr>
      <w:r w:rsidRPr="00A046F6">
        <w:rPr>
          <w:rFonts w:ascii="Arial" w:hAnsi="Arial" w:cs="Arial"/>
        </w:rPr>
        <w:t xml:space="preserve">Le fait qu’une mise en œuvre réussie du PER ne peut passer que par l’appropriation de ses objectifs par chaque enseignant-e </w:t>
      </w:r>
      <w:r w:rsidR="00D909BD">
        <w:rPr>
          <w:rFonts w:ascii="Arial" w:hAnsi="Arial" w:cs="Arial"/>
        </w:rPr>
        <w:t>induit</w:t>
      </w:r>
      <w:r w:rsidRPr="00A046F6">
        <w:rPr>
          <w:rFonts w:ascii="Arial" w:hAnsi="Arial" w:cs="Arial"/>
        </w:rPr>
        <w:t xml:space="preserve"> que les moyens consentis en information, en formation, en ressources et en possibilités de travail en équipe et/ou en réseau sont fondamentaux. Implémenter un plan d’études de ce niveau et </w:t>
      </w:r>
      <w:r w:rsidR="00D909BD">
        <w:rPr>
          <w:rFonts w:ascii="Arial" w:hAnsi="Arial" w:cs="Arial"/>
        </w:rPr>
        <w:t xml:space="preserve">de </w:t>
      </w:r>
      <w:r w:rsidRPr="00A046F6">
        <w:rPr>
          <w:rFonts w:ascii="Arial" w:hAnsi="Arial" w:cs="Arial"/>
        </w:rPr>
        <w:t xml:space="preserve">cette qualité ne peut se faire sans une enveloppe financière importante. Certains cantons l’ont compris, d’autres moins. </w:t>
      </w:r>
      <w:r w:rsidR="00D909BD">
        <w:rPr>
          <w:rFonts w:ascii="Arial" w:hAnsi="Arial" w:cs="Arial"/>
        </w:rPr>
        <w:t>Pour un</w:t>
      </w:r>
      <w:r w:rsidRPr="00A046F6">
        <w:rPr>
          <w:rFonts w:ascii="Arial" w:hAnsi="Arial" w:cs="Arial"/>
        </w:rPr>
        <w:t xml:space="preserve"> plan d’études différent</w:t>
      </w:r>
      <w:r w:rsidR="00D909BD">
        <w:rPr>
          <w:rFonts w:ascii="Arial" w:hAnsi="Arial" w:cs="Arial"/>
        </w:rPr>
        <w:t>,</w:t>
      </w:r>
      <w:r w:rsidRPr="00A046F6">
        <w:rPr>
          <w:rFonts w:ascii="Arial" w:hAnsi="Arial" w:cs="Arial"/>
        </w:rPr>
        <w:t xml:space="preserve"> doit aussi se mettre en place une organisation du travail différente, initiée par les enseignant-e-s en fonction de leurs besoins, et déconnectée des seules attentes administratives.</w:t>
      </w:r>
    </w:p>
    <w:p w:rsidR="00D0625B" w:rsidRPr="00A046F6" w:rsidRDefault="00D0625B" w:rsidP="00D0625B">
      <w:pPr>
        <w:rPr>
          <w:rFonts w:ascii="Arial" w:hAnsi="Arial" w:cs="Arial"/>
        </w:rPr>
      </w:pPr>
      <w:r w:rsidRPr="00A046F6">
        <w:rPr>
          <w:rFonts w:ascii="Arial" w:hAnsi="Arial" w:cs="Arial"/>
        </w:rPr>
        <w:t>La gestion des établissements scolaires doit se réinventer autour de cette nouvelle réalité contractuelle. Il est loin d’être sûr que l’ensemble des responsables, y compris les chefs d’établissement, en ait pris conscience.</w:t>
      </w:r>
    </w:p>
    <w:p w:rsidR="00D0625B" w:rsidRPr="00A046F6" w:rsidRDefault="00D0625B" w:rsidP="00D0625B">
      <w:pPr>
        <w:rPr>
          <w:rFonts w:ascii="Arial" w:hAnsi="Arial" w:cs="Arial"/>
        </w:rPr>
      </w:pPr>
    </w:p>
    <w:p w:rsidR="00D0625B" w:rsidRPr="00A046F6" w:rsidRDefault="00D0625B" w:rsidP="00D0625B">
      <w:pPr>
        <w:rPr>
          <w:rFonts w:ascii="Arial" w:hAnsi="Arial" w:cs="Arial"/>
          <w:b/>
          <w:sz w:val="28"/>
          <w:szCs w:val="28"/>
        </w:rPr>
      </w:pPr>
      <w:r w:rsidRPr="00A046F6">
        <w:rPr>
          <w:rFonts w:ascii="Arial" w:hAnsi="Arial" w:cs="Arial"/>
          <w:b/>
          <w:sz w:val="28"/>
          <w:szCs w:val="28"/>
          <w:u w:val="single"/>
        </w:rPr>
        <w:t>Ce que demandent les enseignant-e-s</w:t>
      </w:r>
    </w:p>
    <w:p w:rsidR="00D0625B" w:rsidRPr="00A046F6" w:rsidRDefault="00D0625B" w:rsidP="00D0625B">
      <w:pPr>
        <w:rPr>
          <w:rFonts w:ascii="Arial" w:hAnsi="Arial" w:cs="Arial"/>
        </w:rPr>
      </w:pPr>
    </w:p>
    <w:p w:rsidR="00D0625B" w:rsidRPr="00A046F6" w:rsidRDefault="00D0625B" w:rsidP="00D0625B">
      <w:pPr>
        <w:rPr>
          <w:rFonts w:ascii="Arial" w:hAnsi="Arial" w:cs="Arial"/>
        </w:rPr>
      </w:pPr>
      <w:r w:rsidRPr="00A046F6">
        <w:rPr>
          <w:rFonts w:ascii="Arial" w:hAnsi="Arial" w:cs="Arial"/>
        </w:rPr>
        <w:t>Pour une implémentation saine de ce plan d’études romand et pour une mise en place efficace des moyens qui vont concourir à l’atteinte de ses objectifs, ce que demande la majorité des enseignant-e-s de tous les cantons c’est</w:t>
      </w:r>
    </w:p>
    <w:p w:rsidR="00D0625B" w:rsidRPr="00A046F6" w:rsidRDefault="00D0625B" w:rsidP="00D0625B">
      <w:pPr>
        <w:rPr>
          <w:rFonts w:ascii="Arial" w:hAnsi="Arial" w:cs="Arial"/>
        </w:rPr>
      </w:pPr>
      <w:r w:rsidRPr="00A046F6">
        <w:rPr>
          <w:rFonts w:ascii="Arial" w:hAnsi="Arial" w:cs="Arial"/>
          <w:noProof/>
          <w:sz w:val="22"/>
          <w:szCs w:val="22"/>
        </w:rPr>
        <w:pict>
          <v:rect id="_x0000_s1028" style="position:absolute;margin-left:142.85pt;margin-top:7.25pt;width:157.4pt;height:38.4pt;z-index:-251659264">
            <v:shadow on="t" opacity=".5" offset="6pt,6pt"/>
          </v:rect>
        </w:pict>
      </w:r>
    </w:p>
    <w:p w:rsidR="00D0625B" w:rsidRPr="00A046F6" w:rsidRDefault="00D0625B" w:rsidP="00D0625B">
      <w:pPr>
        <w:rPr>
          <w:rFonts w:ascii="Arial" w:hAnsi="Arial" w:cs="Arial"/>
        </w:rPr>
      </w:pPr>
      <w:r w:rsidRPr="00A046F6">
        <w:rPr>
          <w:rFonts w:ascii="Arial" w:hAnsi="Arial" w:cs="Arial"/>
          <w:noProof/>
          <w:sz w:val="22"/>
          <w:szCs w:val="22"/>
          <w:lang w:val="en-US" w:eastAsia="en-US"/>
        </w:rPr>
        <w:pict>
          <v:shapetype id="_x0000_t202" coordsize="21600,21600" o:spt="202" path="m,l,21600r21600,l21600,xe">
            <v:stroke joinstyle="miter"/>
            <v:path gradientshapeok="t" o:connecttype="rect"/>
          </v:shapetype>
          <v:shape id="_x0000_s1033" type="#_x0000_t202" style="position:absolute;margin-left:147.8pt;margin-top:.85pt;width:147.1pt;height:21.1pt;z-index:251658240" stroked="f">
            <v:textbox>
              <w:txbxContent>
                <w:p w:rsidR="00D0625B" w:rsidRPr="00A046F6" w:rsidRDefault="00D0625B">
                  <w:pPr>
                    <w:rPr>
                      <w:rFonts w:ascii="Arial" w:hAnsi="Arial" w:cs="Arial"/>
                      <w:sz w:val="28"/>
                      <w:szCs w:val="28"/>
                    </w:rPr>
                  </w:pPr>
                  <w:r w:rsidRPr="00A046F6">
                    <w:rPr>
                      <w:rFonts w:ascii="Arial" w:hAnsi="Arial" w:cs="Arial"/>
                      <w:b/>
                      <w:sz w:val="28"/>
                      <w:szCs w:val="28"/>
                    </w:rPr>
                    <w:t>du temps</w:t>
                  </w:r>
                  <w:r w:rsidRPr="00A046F6">
                    <w:rPr>
                      <w:rFonts w:ascii="Arial" w:hAnsi="Arial" w:cs="Arial"/>
                      <w:sz w:val="28"/>
                      <w:szCs w:val="28"/>
                    </w:rPr>
                    <w:t xml:space="preserve"> et de l’air !</w:t>
                  </w:r>
                </w:p>
              </w:txbxContent>
            </v:textbox>
          </v:shape>
        </w:pict>
      </w:r>
    </w:p>
    <w:p w:rsidR="00D0625B" w:rsidRPr="00A046F6" w:rsidRDefault="00D0625B" w:rsidP="00D0625B">
      <w:pPr>
        <w:rPr>
          <w:rFonts w:ascii="Arial" w:hAnsi="Arial" w:cs="Arial"/>
        </w:rPr>
      </w:pPr>
    </w:p>
    <w:p w:rsidR="00D0625B" w:rsidRPr="00A046F6" w:rsidRDefault="00D0625B" w:rsidP="00D0625B">
      <w:pPr>
        <w:rPr>
          <w:rFonts w:ascii="Arial" w:hAnsi="Arial" w:cs="Arial"/>
        </w:rPr>
      </w:pPr>
    </w:p>
    <w:p w:rsidR="00D0625B" w:rsidRPr="00A046F6" w:rsidRDefault="00D0625B" w:rsidP="00D0625B">
      <w:pPr>
        <w:rPr>
          <w:rFonts w:ascii="Arial" w:hAnsi="Arial" w:cs="Arial"/>
        </w:rPr>
      </w:pPr>
      <w:r w:rsidRPr="00A046F6">
        <w:rPr>
          <w:rFonts w:ascii="Arial" w:hAnsi="Arial" w:cs="Arial"/>
        </w:rPr>
        <w:t>Du temps pour une appropriation en profondeur de ces objectifs parfaitement légitimes et bien choisis</w:t>
      </w:r>
      <w:r w:rsidR="00D909BD">
        <w:rPr>
          <w:rFonts w:ascii="Arial" w:hAnsi="Arial" w:cs="Arial"/>
        </w:rPr>
        <w:t>,</w:t>
      </w:r>
      <w:r w:rsidRPr="00A046F6">
        <w:rPr>
          <w:rFonts w:ascii="Arial" w:hAnsi="Arial" w:cs="Arial"/>
        </w:rPr>
        <w:t xml:space="preserve"> pour</w:t>
      </w:r>
      <w:r w:rsidR="00D909BD">
        <w:rPr>
          <w:rFonts w:ascii="Arial" w:hAnsi="Arial" w:cs="Arial"/>
        </w:rPr>
        <w:t xml:space="preserve"> imaginer</w:t>
      </w:r>
      <w:r w:rsidRPr="00A046F6">
        <w:rPr>
          <w:rFonts w:ascii="Arial" w:hAnsi="Arial" w:cs="Arial"/>
        </w:rPr>
        <w:t xml:space="preserve"> une organisation stable et réfléchie qui va permettre à l’école plus d’efficacité pour les atteindre et pour </w:t>
      </w:r>
      <w:r w:rsidR="00D909BD">
        <w:rPr>
          <w:rFonts w:ascii="Arial" w:hAnsi="Arial" w:cs="Arial"/>
        </w:rPr>
        <w:t xml:space="preserve">suivre </w:t>
      </w:r>
      <w:r w:rsidR="00A046F6" w:rsidRPr="00A046F6">
        <w:rPr>
          <w:rFonts w:ascii="Arial" w:hAnsi="Arial" w:cs="Arial"/>
        </w:rPr>
        <w:t>d</w:t>
      </w:r>
      <w:r w:rsidRPr="00A046F6">
        <w:rPr>
          <w:rFonts w:ascii="Arial" w:hAnsi="Arial" w:cs="Arial"/>
        </w:rPr>
        <w:t>es compléments de formation indispensables pour agir de manière sereine. De l’air pour pouvoir agir en vrai professionnel, pour pouvoir faire la preuve que la confiance doit exister et pour pouvoir prouver que la responsabilité est plus payante que tous les contrôles administratifs.</w:t>
      </w:r>
      <w:bookmarkStart w:id="0" w:name="_GoBack"/>
      <w:bookmarkEnd w:id="0"/>
    </w:p>
    <w:p w:rsidR="00A046F6" w:rsidRPr="00A046F6" w:rsidRDefault="00A046F6" w:rsidP="00D0625B">
      <w:pPr>
        <w:rPr>
          <w:rFonts w:ascii="Arial" w:hAnsi="Arial" w:cs="Arial"/>
        </w:rPr>
      </w:pPr>
    </w:p>
    <w:p w:rsidR="00A046F6" w:rsidRPr="00A046F6" w:rsidRDefault="00A046F6" w:rsidP="00D0625B">
      <w:pPr>
        <w:rPr>
          <w:rFonts w:ascii="Arial" w:hAnsi="Arial" w:cs="Arial"/>
          <w:b/>
          <w:sz w:val="28"/>
          <w:szCs w:val="28"/>
        </w:rPr>
      </w:pPr>
      <w:r w:rsidRPr="00A046F6">
        <w:rPr>
          <w:rFonts w:ascii="Arial" w:hAnsi="Arial" w:cs="Arial"/>
          <w:b/>
          <w:sz w:val="28"/>
          <w:szCs w:val="28"/>
        </w:rPr>
        <w:t>Il ne faut pas considérer le PER comme un aboutissement, mais comme une rampe de lancement.</w:t>
      </w:r>
    </w:p>
    <w:p w:rsidR="00D0625B" w:rsidRPr="00920387" w:rsidRDefault="00D0625B" w:rsidP="00D0625B">
      <w:pPr>
        <w:rPr>
          <w:rFonts w:ascii="Tahoma" w:hAnsi="Tahoma" w:cs="Tahoma"/>
        </w:rPr>
      </w:pPr>
    </w:p>
    <w:sectPr w:rsidR="00D0625B" w:rsidRPr="0092038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F0" w:rsidRDefault="007527F0" w:rsidP="002D1DB9">
      <w:r>
        <w:separator/>
      </w:r>
    </w:p>
  </w:endnote>
  <w:endnote w:type="continuationSeparator" w:id="0">
    <w:p w:rsidR="007527F0" w:rsidRDefault="007527F0" w:rsidP="002D1D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DB9" w:rsidRPr="002D1DB9" w:rsidRDefault="002D1DB9" w:rsidP="00A95677">
    <w:pPr>
      <w:pStyle w:val="Pieddepage"/>
      <w:tabs>
        <w:tab w:val="center" w:pos="4536"/>
      </w:tabs>
      <w:rPr>
        <w:rFonts w:ascii="Arial" w:hAnsi="Arial" w:cs="Arial"/>
        <w:i/>
        <w:sz w:val="16"/>
      </w:rPr>
    </w:pPr>
    <w:r w:rsidRPr="002D1DB9">
      <w:rPr>
        <w:rFonts w:ascii="Arial" w:hAnsi="Arial" w:cs="Arial"/>
        <w:i/>
        <w:sz w:val="16"/>
      </w:rPr>
      <w:t>Conférence de presse de rentrée 201</w:t>
    </w:r>
    <w:r w:rsidR="005A53E1">
      <w:rPr>
        <w:rFonts w:ascii="Arial" w:hAnsi="Arial" w:cs="Arial"/>
        <w:i/>
        <w:sz w:val="16"/>
      </w:rPr>
      <w:t>3</w:t>
    </w:r>
    <w:r>
      <w:rPr>
        <w:rFonts w:ascii="Arial" w:hAnsi="Arial" w:cs="Arial"/>
        <w:i/>
        <w:sz w:val="16"/>
      </w:rPr>
      <w:tab/>
      <w:t>14 août 201</w:t>
    </w:r>
    <w:r w:rsidR="005A53E1">
      <w:rPr>
        <w:rFonts w:ascii="Arial" w:hAnsi="Arial" w:cs="Arial"/>
        <w:i/>
        <w:sz w:val="16"/>
      </w:rPr>
      <w:t>3</w:t>
    </w:r>
    <w:r>
      <w:rPr>
        <w:rFonts w:ascii="Arial" w:hAnsi="Arial" w:cs="Arial"/>
        <w:i/>
        <w:sz w:val="16"/>
      </w:rPr>
      <w:t xml:space="preserve"> </w:t>
    </w:r>
    <w:r w:rsidR="00A95677">
      <w:rPr>
        <w:rFonts w:ascii="Arial" w:hAnsi="Arial" w:cs="Arial"/>
        <w:i/>
        <w:sz w:val="16"/>
      </w:rPr>
      <w:tab/>
    </w:r>
    <w:r>
      <w:rPr>
        <w:rFonts w:ascii="Arial" w:hAnsi="Arial" w:cs="Arial"/>
        <w:i/>
        <w:sz w:val="16"/>
      </w:rPr>
      <w:t xml:space="preserve">page </w:t>
    </w:r>
    <w:r w:rsidRPr="002D1DB9">
      <w:rPr>
        <w:rFonts w:ascii="Arial" w:hAnsi="Arial" w:cs="Arial"/>
        <w:i/>
        <w:sz w:val="16"/>
      </w:rPr>
      <w:fldChar w:fldCharType="begin"/>
    </w:r>
    <w:r w:rsidRPr="002D1DB9">
      <w:rPr>
        <w:rFonts w:ascii="Arial" w:hAnsi="Arial" w:cs="Arial"/>
        <w:i/>
        <w:sz w:val="16"/>
      </w:rPr>
      <w:instrText xml:space="preserve"> PAGE   \* MERGEFORMAT </w:instrText>
    </w:r>
    <w:r w:rsidRPr="002D1DB9">
      <w:rPr>
        <w:rFonts w:ascii="Arial" w:hAnsi="Arial" w:cs="Arial"/>
        <w:i/>
        <w:sz w:val="16"/>
      </w:rPr>
      <w:fldChar w:fldCharType="separate"/>
    </w:r>
    <w:r w:rsidR="001D3D12">
      <w:rPr>
        <w:rFonts w:ascii="Arial" w:hAnsi="Arial" w:cs="Arial"/>
        <w:i/>
        <w:noProof/>
        <w:sz w:val="16"/>
      </w:rPr>
      <w:t>1</w:t>
    </w:r>
    <w:r w:rsidRPr="002D1DB9">
      <w:rPr>
        <w:rFonts w:ascii="Arial" w:hAnsi="Arial" w:cs="Arial"/>
        <w:i/>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F0" w:rsidRDefault="007527F0" w:rsidP="002D1DB9">
      <w:r>
        <w:separator/>
      </w:r>
    </w:p>
  </w:footnote>
  <w:footnote w:type="continuationSeparator" w:id="0">
    <w:p w:rsidR="007527F0" w:rsidRDefault="007527F0" w:rsidP="002D1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66C8F"/>
    <w:multiLevelType w:val="hybridMultilevel"/>
    <w:tmpl w:val="E0D4A1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BCA03B5"/>
    <w:multiLevelType w:val="hybridMultilevel"/>
    <w:tmpl w:val="D9CE5902"/>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hyphenationZone w:val="425"/>
  <w:characterSpacingControl w:val="doNotCompress"/>
  <w:footnotePr>
    <w:footnote w:id="-1"/>
    <w:footnote w:id="0"/>
  </w:footnotePr>
  <w:endnotePr>
    <w:endnote w:id="-1"/>
    <w:endnote w:id="0"/>
  </w:endnotePr>
  <w:compat/>
  <w:rsids>
    <w:rsidRoot w:val="000661E4"/>
    <w:rsid w:val="00007FA9"/>
    <w:rsid w:val="00015834"/>
    <w:rsid w:val="00020B09"/>
    <w:rsid w:val="00022A01"/>
    <w:rsid w:val="00022EAC"/>
    <w:rsid w:val="000242A2"/>
    <w:rsid w:val="00033423"/>
    <w:rsid w:val="00035AFE"/>
    <w:rsid w:val="00042C6B"/>
    <w:rsid w:val="00043293"/>
    <w:rsid w:val="00052602"/>
    <w:rsid w:val="0005492E"/>
    <w:rsid w:val="000549EB"/>
    <w:rsid w:val="000632E3"/>
    <w:rsid w:val="000638FB"/>
    <w:rsid w:val="0006502B"/>
    <w:rsid w:val="00065516"/>
    <w:rsid w:val="000661E4"/>
    <w:rsid w:val="00071D44"/>
    <w:rsid w:val="00073731"/>
    <w:rsid w:val="000737E1"/>
    <w:rsid w:val="00076C13"/>
    <w:rsid w:val="0007724E"/>
    <w:rsid w:val="0008758A"/>
    <w:rsid w:val="00097C26"/>
    <w:rsid w:val="00097D25"/>
    <w:rsid w:val="000A2185"/>
    <w:rsid w:val="000B6138"/>
    <w:rsid w:val="000C050C"/>
    <w:rsid w:val="000C1A25"/>
    <w:rsid w:val="000D1EA3"/>
    <w:rsid w:val="000E3042"/>
    <w:rsid w:val="000E4CAF"/>
    <w:rsid w:val="000E5192"/>
    <w:rsid w:val="000F1873"/>
    <w:rsid w:val="000F750A"/>
    <w:rsid w:val="00101EF3"/>
    <w:rsid w:val="00125C56"/>
    <w:rsid w:val="00130563"/>
    <w:rsid w:val="00137366"/>
    <w:rsid w:val="001459B9"/>
    <w:rsid w:val="00146F2B"/>
    <w:rsid w:val="00152262"/>
    <w:rsid w:val="001744A5"/>
    <w:rsid w:val="001758C7"/>
    <w:rsid w:val="001823AC"/>
    <w:rsid w:val="00195687"/>
    <w:rsid w:val="001A4A46"/>
    <w:rsid w:val="001B6DB5"/>
    <w:rsid w:val="001C73AD"/>
    <w:rsid w:val="001D3D12"/>
    <w:rsid w:val="001E546C"/>
    <w:rsid w:val="001F08AC"/>
    <w:rsid w:val="001F28FF"/>
    <w:rsid w:val="001F4FF3"/>
    <w:rsid w:val="001F6DAF"/>
    <w:rsid w:val="00201021"/>
    <w:rsid w:val="002018B5"/>
    <w:rsid w:val="00203EE5"/>
    <w:rsid w:val="00217A34"/>
    <w:rsid w:val="0022520C"/>
    <w:rsid w:val="002272BA"/>
    <w:rsid w:val="00242D83"/>
    <w:rsid w:val="00246CF2"/>
    <w:rsid w:val="00246F48"/>
    <w:rsid w:val="00250F47"/>
    <w:rsid w:val="00260BE1"/>
    <w:rsid w:val="0026156A"/>
    <w:rsid w:val="00262250"/>
    <w:rsid w:val="00262732"/>
    <w:rsid w:val="00271E17"/>
    <w:rsid w:val="002803BD"/>
    <w:rsid w:val="00280A41"/>
    <w:rsid w:val="002849D1"/>
    <w:rsid w:val="002A39DD"/>
    <w:rsid w:val="002B0F7F"/>
    <w:rsid w:val="002C05A8"/>
    <w:rsid w:val="002C0BCC"/>
    <w:rsid w:val="002C64C1"/>
    <w:rsid w:val="002D1DB9"/>
    <w:rsid w:val="002D3C9B"/>
    <w:rsid w:val="002D4D86"/>
    <w:rsid w:val="002D56D5"/>
    <w:rsid w:val="0030648C"/>
    <w:rsid w:val="0031748B"/>
    <w:rsid w:val="00336FC4"/>
    <w:rsid w:val="003372CE"/>
    <w:rsid w:val="0034490D"/>
    <w:rsid w:val="003451B0"/>
    <w:rsid w:val="003518BD"/>
    <w:rsid w:val="00361D55"/>
    <w:rsid w:val="00376258"/>
    <w:rsid w:val="00376D6E"/>
    <w:rsid w:val="00390F27"/>
    <w:rsid w:val="003A5324"/>
    <w:rsid w:val="003B35FE"/>
    <w:rsid w:val="003C166E"/>
    <w:rsid w:val="003C40FA"/>
    <w:rsid w:val="003C61B3"/>
    <w:rsid w:val="003C7078"/>
    <w:rsid w:val="003D4E3C"/>
    <w:rsid w:val="003D5F52"/>
    <w:rsid w:val="003D6031"/>
    <w:rsid w:val="003D6997"/>
    <w:rsid w:val="003E2628"/>
    <w:rsid w:val="003E3BDA"/>
    <w:rsid w:val="003E5394"/>
    <w:rsid w:val="003F1768"/>
    <w:rsid w:val="00401ED4"/>
    <w:rsid w:val="0041145C"/>
    <w:rsid w:val="00417DE5"/>
    <w:rsid w:val="00426252"/>
    <w:rsid w:val="004268F4"/>
    <w:rsid w:val="00426A8E"/>
    <w:rsid w:val="0043122D"/>
    <w:rsid w:val="004356C7"/>
    <w:rsid w:val="0044036C"/>
    <w:rsid w:val="0045090E"/>
    <w:rsid w:val="00471E08"/>
    <w:rsid w:val="0047495B"/>
    <w:rsid w:val="004835A8"/>
    <w:rsid w:val="00490259"/>
    <w:rsid w:val="00495E09"/>
    <w:rsid w:val="004A001F"/>
    <w:rsid w:val="004A16ED"/>
    <w:rsid w:val="004A5C22"/>
    <w:rsid w:val="004B3636"/>
    <w:rsid w:val="004C0D15"/>
    <w:rsid w:val="004C48A5"/>
    <w:rsid w:val="004C55D6"/>
    <w:rsid w:val="004C69FA"/>
    <w:rsid w:val="004D3055"/>
    <w:rsid w:val="004D6504"/>
    <w:rsid w:val="004E2FB7"/>
    <w:rsid w:val="004E3634"/>
    <w:rsid w:val="004E5CE4"/>
    <w:rsid w:val="004F0C6F"/>
    <w:rsid w:val="004F39F4"/>
    <w:rsid w:val="004F66F4"/>
    <w:rsid w:val="00521A6C"/>
    <w:rsid w:val="00522256"/>
    <w:rsid w:val="005263A3"/>
    <w:rsid w:val="00530488"/>
    <w:rsid w:val="005337C5"/>
    <w:rsid w:val="005362FF"/>
    <w:rsid w:val="005405FC"/>
    <w:rsid w:val="00547B06"/>
    <w:rsid w:val="0055615F"/>
    <w:rsid w:val="0056061A"/>
    <w:rsid w:val="0056521D"/>
    <w:rsid w:val="0057192B"/>
    <w:rsid w:val="00576231"/>
    <w:rsid w:val="005765D9"/>
    <w:rsid w:val="00576F10"/>
    <w:rsid w:val="00581D86"/>
    <w:rsid w:val="00582BFD"/>
    <w:rsid w:val="00590153"/>
    <w:rsid w:val="00594445"/>
    <w:rsid w:val="00595978"/>
    <w:rsid w:val="00597AD3"/>
    <w:rsid w:val="005A177C"/>
    <w:rsid w:val="005A53E1"/>
    <w:rsid w:val="005A5C55"/>
    <w:rsid w:val="005B2A31"/>
    <w:rsid w:val="005E216E"/>
    <w:rsid w:val="005E4BA7"/>
    <w:rsid w:val="005E4F91"/>
    <w:rsid w:val="005F2B22"/>
    <w:rsid w:val="005F450C"/>
    <w:rsid w:val="005F4E59"/>
    <w:rsid w:val="00603B44"/>
    <w:rsid w:val="00603E9C"/>
    <w:rsid w:val="00611444"/>
    <w:rsid w:val="006144A2"/>
    <w:rsid w:val="00614FA3"/>
    <w:rsid w:val="006158D0"/>
    <w:rsid w:val="006173BA"/>
    <w:rsid w:val="00622493"/>
    <w:rsid w:val="00634851"/>
    <w:rsid w:val="00640AEB"/>
    <w:rsid w:val="00645DEC"/>
    <w:rsid w:val="00661E74"/>
    <w:rsid w:val="006621F9"/>
    <w:rsid w:val="00663A60"/>
    <w:rsid w:val="00663E2A"/>
    <w:rsid w:val="006857A1"/>
    <w:rsid w:val="00685B39"/>
    <w:rsid w:val="00691DFE"/>
    <w:rsid w:val="00693604"/>
    <w:rsid w:val="006A3D31"/>
    <w:rsid w:val="006B48C2"/>
    <w:rsid w:val="006B6249"/>
    <w:rsid w:val="006B6FB5"/>
    <w:rsid w:val="006C1ED3"/>
    <w:rsid w:val="006C69A1"/>
    <w:rsid w:val="006D0BD9"/>
    <w:rsid w:val="006E3CD4"/>
    <w:rsid w:val="006F352E"/>
    <w:rsid w:val="0070217A"/>
    <w:rsid w:val="00704889"/>
    <w:rsid w:val="00705D62"/>
    <w:rsid w:val="0071229F"/>
    <w:rsid w:val="007174A9"/>
    <w:rsid w:val="00726B33"/>
    <w:rsid w:val="0074202A"/>
    <w:rsid w:val="007470E4"/>
    <w:rsid w:val="007478B2"/>
    <w:rsid w:val="007527F0"/>
    <w:rsid w:val="00757F27"/>
    <w:rsid w:val="0076112C"/>
    <w:rsid w:val="00761B45"/>
    <w:rsid w:val="00762BBA"/>
    <w:rsid w:val="0076347D"/>
    <w:rsid w:val="00764042"/>
    <w:rsid w:val="00784151"/>
    <w:rsid w:val="007855EC"/>
    <w:rsid w:val="0079447F"/>
    <w:rsid w:val="007945D7"/>
    <w:rsid w:val="007A245B"/>
    <w:rsid w:val="007A43EF"/>
    <w:rsid w:val="007B3D2E"/>
    <w:rsid w:val="007C3C28"/>
    <w:rsid w:val="007D24E1"/>
    <w:rsid w:val="007D35E5"/>
    <w:rsid w:val="007D38AA"/>
    <w:rsid w:val="007D7A1B"/>
    <w:rsid w:val="007E46B1"/>
    <w:rsid w:val="007E76FB"/>
    <w:rsid w:val="00807919"/>
    <w:rsid w:val="008109C5"/>
    <w:rsid w:val="00811DE0"/>
    <w:rsid w:val="00816C3A"/>
    <w:rsid w:val="00816E19"/>
    <w:rsid w:val="00817C66"/>
    <w:rsid w:val="00821AFE"/>
    <w:rsid w:val="00826F92"/>
    <w:rsid w:val="00831B11"/>
    <w:rsid w:val="0083668A"/>
    <w:rsid w:val="00837012"/>
    <w:rsid w:val="00846936"/>
    <w:rsid w:val="0085069C"/>
    <w:rsid w:val="00856060"/>
    <w:rsid w:val="0086121C"/>
    <w:rsid w:val="00863F79"/>
    <w:rsid w:val="008676EB"/>
    <w:rsid w:val="00872207"/>
    <w:rsid w:val="008752C6"/>
    <w:rsid w:val="0087678F"/>
    <w:rsid w:val="008824DB"/>
    <w:rsid w:val="00891C0E"/>
    <w:rsid w:val="0089373B"/>
    <w:rsid w:val="00897611"/>
    <w:rsid w:val="008A19B2"/>
    <w:rsid w:val="008A463B"/>
    <w:rsid w:val="008B06C5"/>
    <w:rsid w:val="008C0013"/>
    <w:rsid w:val="008C459F"/>
    <w:rsid w:val="008C4C7B"/>
    <w:rsid w:val="008C54ED"/>
    <w:rsid w:val="008D48E3"/>
    <w:rsid w:val="008E2B28"/>
    <w:rsid w:val="008E2E34"/>
    <w:rsid w:val="008E3009"/>
    <w:rsid w:val="008E5813"/>
    <w:rsid w:val="008F0D37"/>
    <w:rsid w:val="008F51CF"/>
    <w:rsid w:val="00904B85"/>
    <w:rsid w:val="0090761C"/>
    <w:rsid w:val="00910A56"/>
    <w:rsid w:val="00914221"/>
    <w:rsid w:val="0091650E"/>
    <w:rsid w:val="009207FB"/>
    <w:rsid w:val="0092130A"/>
    <w:rsid w:val="00922E93"/>
    <w:rsid w:val="0092397E"/>
    <w:rsid w:val="00930D7D"/>
    <w:rsid w:val="009323A4"/>
    <w:rsid w:val="009351CF"/>
    <w:rsid w:val="00935C89"/>
    <w:rsid w:val="009401EB"/>
    <w:rsid w:val="00943454"/>
    <w:rsid w:val="00955BCB"/>
    <w:rsid w:val="00960128"/>
    <w:rsid w:val="00961099"/>
    <w:rsid w:val="009713D2"/>
    <w:rsid w:val="00972312"/>
    <w:rsid w:val="009728FB"/>
    <w:rsid w:val="00973B5C"/>
    <w:rsid w:val="00977931"/>
    <w:rsid w:val="0098309A"/>
    <w:rsid w:val="009A01F1"/>
    <w:rsid w:val="009A2F49"/>
    <w:rsid w:val="009A306E"/>
    <w:rsid w:val="009A4C71"/>
    <w:rsid w:val="009B19DD"/>
    <w:rsid w:val="009B450C"/>
    <w:rsid w:val="009B5A9A"/>
    <w:rsid w:val="009C3921"/>
    <w:rsid w:val="009C4A28"/>
    <w:rsid w:val="009D3B27"/>
    <w:rsid w:val="009D4F5D"/>
    <w:rsid w:val="009E05A7"/>
    <w:rsid w:val="009E1BA5"/>
    <w:rsid w:val="009E5ED6"/>
    <w:rsid w:val="009F3F4F"/>
    <w:rsid w:val="009F67E1"/>
    <w:rsid w:val="009F70DB"/>
    <w:rsid w:val="009F7435"/>
    <w:rsid w:val="00A046F6"/>
    <w:rsid w:val="00A078AD"/>
    <w:rsid w:val="00A11FA5"/>
    <w:rsid w:val="00A31319"/>
    <w:rsid w:val="00A32189"/>
    <w:rsid w:val="00A33393"/>
    <w:rsid w:val="00A4764C"/>
    <w:rsid w:val="00A5600C"/>
    <w:rsid w:val="00A66992"/>
    <w:rsid w:val="00A77840"/>
    <w:rsid w:val="00A82144"/>
    <w:rsid w:val="00A85EBF"/>
    <w:rsid w:val="00A951BE"/>
    <w:rsid w:val="00A95677"/>
    <w:rsid w:val="00A95740"/>
    <w:rsid w:val="00AA1ADE"/>
    <w:rsid w:val="00AA2D69"/>
    <w:rsid w:val="00AB1BA7"/>
    <w:rsid w:val="00AB4A83"/>
    <w:rsid w:val="00AC2D41"/>
    <w:rsid w:val="00AD7E06"/>
    <w:rsid w:val="00AE3DD2"/>
    <w:rsid w:val="00AE7A07"/>
    <w:rsid w:val="00AF72AB"/>
    <w:rsid w:val="00B110D0"/>
    <w:rsid w:val="00B132D6"/>
    <w:rsid w:val="00B17A57"/>
    <w:rsid w:val="00B23BF0"/>
    <w:rsid w:val="00B306B7"/>
    <w:rsid w:val="00B3422E"/>
    <w:rsid w:val="00B363D4"/>
    <w:rsid w:val="00B412FC"/>
    <w:rsid w:val="00B50D5B"/>
    <w:rsid w:val="00B50DEE"/>
    <w:rsid w:val="00B51726"/>
    <w:rsid w:val="00B537C5"/>
    <w:rsid w:val="00B60836"/>
    <w:rsid w:val="00B70AE9"/>
    <w:rsid w:val="00B83C98"/>
    <w:rsid w:val="00B84CF9"/>
    <w:rsid w:val="00B86500"/>
    <w:rsid w:val="00B900D7"/>
    <w:rsid w:val="00B94B74"/>
    <w:rsid w:val="00B96738"/>
    <w:rsid w:val="00BA39FA"/>
    <w:rsid w:val="00BB12BD"/>
    <w:rsid w:val="00BB3BD6"/>
    <w:rsid w:val="00BC1B47"/>
    <w:rsid w:val="00BC69AA"/>
    <w:rsid w:val="00BD0D8F"/>
    <w:rsid w:val="00BD5F8E"/>
    <w:rsid w:val="00BE005B"/>
    <w:rsid w:val="00BE0664"/>
    <w:rsid w:val="00BE5CD9"/>
    <w:rsid w:val="00BE776C"/>
    <w:rsid w:val="00BF7F5B"/>
    <w:rsid w:val="00C0050D"/>
    <w:rsid w:val="00C023C4"/>
    <w:rsid w:val="00C1059C"/>
    <w:rsid w:val="00C10A6B"/>
    <w:rsid w:val="00C31F51"/>
    <w:rsid w:val="00C364FD"/>
    <w:rsid w:val="00C466C0"/>
    <w:rsid w:val="00C64E2B"/>
    <w:rsid w:val="00C67081"/>
    <w:rsid w:val="00C671D8"/>
    <w:rsid w:val="00C721B9"/>
    <w:rsid w:val="00C83362"/>
    <w:rsid w:val="00C86FEC"/>
    <w:rsid w:val="00C95717"/>
    <w:rsid w:val="00C96D03"/>
    <w:rsid w:val="00CB0047"/>
    <w:rsid w:val="00CC062E"/>
    <w:rsid w:val="00CC438D"/>
    <w:rsid w:val="00CC7286"/>
    <w:rsid w:val="00CC7FB5"/>
    <w:rsid w:val="00CD3C66"/>
    <w:rsid w:val="00CD4E77"/>
    <w:rsid w:val="00CE2A4B"/>
    <w:rsid w:val="00CE339F"/>
    <w:rsid w:val="00CE4992"/>
    <w:rsid w:val="00CE4F23"/>
    <w:rsid w:val="00CF7555"/>
    <w:rsid w:val="00D019F4"/>
    <w:rsid w:val="00D0625B"/>
    <w:rsid w:val="00D16E77"/>
    <w:rsid w:val="00D35271"/>
    <w:rsid w:val="00D46BBD"/>
    <w:rsid w:val="00D604F7"/>
    <w:rsid w:val="00D623B8"/>
    <w:rsid w:val="00D67BC6"/>
    <w:rsid w:val="00D75A2F"/>
    <w:rsid w:val="00D809D0"/>
    <w:rsid w:val="00D80E7B"/>
    <w:rsid w:val="00D81AFD"/>
    <w:rsid w:val="00D868A2"/>
    <w:rsid w:val="00D909BD"/>
    <w:rsid w:val="00D91A67"/>
    <w:rsid w:val="00D91DFE"/>
    <w:rsid w:val="00D9275D"/>
    <w:rsid w:val="00D9582D"/>
    <w:rsid w:val="00D97A7D"/>
    <w:rsid w:val="00DB1126"/>
    <w:rsid w:val="00DB3281"/>
    <w:rsid w:val="00DB6144"/>
    <w:rsid w:val="00DC3DBF"/>
    <w:rsid w:val="00DD3EF2"/>
    <w:rsid w:val="00DE1F31"/>
    <w:rsid w:val="00DF3462"/>
    <w:rsid w:val="00E02E57"/>
    <w:rsid w:val="00E04988"/>
    <w:rsid w:val="00E072E6"/>
    <w:rsid w:val="00E106C6"/>
    <w:rsid w:val="00E159BA"/>
    <w:rsid w:val="00E1665A"/>
    <w:rsid w:val="00E17E2F"/>
    <w:rsid w:val="00E254B9"/>
    <w:rsid w:val="00E30DF8"/>
    <w:rsid w:val="00E31C71"/>
    <w:rsid w:val="00E33FAB"/>
    <w:rsid w:val="00E34B5C"/>
    <w:rsid w:val="00E34BEE"/>
    <w:rsid w:val="00E40DCC"/>
    <w:rsid w:val="00E41D01"/>
    <w:rsid w:val="00E4697B"/>
    <w:rsid w:val="00E5089D"/>
    <w:rsid w:val="00E5314F"/>
    <w:rsid w:val="00E576CA"/>
    <w:rsid w:val="00E60996"/>
    <w:rsid w:val="00E65409"/>
    <w:rsid w:val="00E726A1"/>
    <w:rsid w:val="00E74158"/>
    <w:rsid w:val="00E74A0F"/>
    <w:rsid w:val="00E826D3"/>
    <w:rsid w:val="00E84D4B"/>
    <w:rsid w:val="00E9301E"/>
    <w:rsid w:val="00EA0914"/>
    <w:rsid w:val="00EA4D2A"/>
    <w:rsid w:val="00EA72D4"/>
    <w:rsid w:val="00EB4056"/>
    <w:rsid w:val="00EB4F45"/>
    <w:rsid w:val="00ED1D06"/>
    <w:rsid w:val="00ED7F31"/>
    <w:rsid w:val="00EE2116"/>
    <w:rsid w:val="00EE554E"/>
    <w:rsid w:val="00EF1EFE"/>
    <w:rsid w:val="00EF5276"/>
    <w:rsid w:val="00EF66A3"/>
    <w:rsid w:val="00F01C6A"/>
    <w:rsid w:val="00F03D97"/>
    <w:rsid w:val="00F16076"/>
    <w:rsid w:val="00F22254"/>
    <w:rsid w:val="00F239EA"/>
    <w:rsid w:val="00F32CEA"/>
    <w:rsid w:val="00F363BB"/>
    <w:rsid w:val="00F37013"/>
    <w:rsid w:val="00F40189"/>
    <w:rsid w:val="00F4745C"/>
    <w:rsid w:val="00F55CA2"/>
    <w:rsid w:val="00F6003B"/>
    <w:rsid w:val="00F60148"/>
    <w:rsid w:val="00F603FF"/>
    <w:rsid w:val="00F61BF5"/>
    <w:rsid w:val="00F61C92"/>
    <w:rsid w:val="00F6220F"/>
    <w:rsid w:val="00F65050"/>
    <w:rsid w:val="00F65B93"/>
    <w:rsid w:val="00F65DDB"/>
    <w:rsid w:val="00F66FD9"/>
    <w:rsid w:val="00F81BE6"/>
    <w:rsid w:val="00F827BD"/>
    <w:rsid w:val="00F838C3"/>
    <w:rsid w:val="00F8400D"/>
    <w:rsid w:val="00FA47BC"/>
    <w:rsid w:val="00FA61FE"/>
    <w:rsid w:val="00FB049D"/>
    <w:rsid w:val="00FB0817"/>
    <w:rsid w:val="00FB491C"/>
    <w:rsid w:val="00FB5ACF"/>
    <w:rsid w:val="00FB61B5"/>
    <w:rsid w:val="00FC2349"/>
    <w:rsid w:val="00FC3189"/>
    <w:rsid w:val="00FC605C"/>
    <w:rsid w:val="00FD08B3"/>
    <w:rsid w:val="00FD491D"/>
    <w:rsid w:val="00FE3B22"/>
    <w:rsid w:val="00FE50FE"/>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007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2D1DB9"/>
    <w:pPr>
      <w:tabs>
        <w:tab w:val="center" w:pos="4536"/>
        <w:tab w:val="right" w:pos="9072"/>
      </w:tabs>
    </w:pPr>
  </w:style>
  <w:style w:type="character" w:customStyle="1" w:styleId="En-tteCar">
    <w:name w:val="En-tête Car"/>
    <w:basedOn w:val="Policepardfaut"/>
    <w:link w:val="En-tte"/>
    <w:rsid w:val="002D1DB9"/>
    <w:rPr>
      <w:sz w:val="24"/>
      <w:szCs w:val="24"/>
      <w:lang w:val="fr-FR" w:eastAsia="fr-FR"/>
    </w:rPr>
  </w:style>
  <w:style w:type="paragraph" w:styleId="Pieddepage">
    <w:name w:val="footer"/>
    <w:basedOn w:val="Normal"/>
    <w:link w:val="PieddepageCar"/>
    <w:rsid w:val="002D1DB9"/>
    <w:pPr>
      <w:tabs>
        <w:tab w:val="center" w:pos="4536"/>
        <w:tab w:val="right" w:pos="9072"/>
      </w:tabs>
    </w:pPr>
  </w:style>
  <w:style w:type="character" w:customStyle="1" w:styleId="PieddepageCar">
    <w:name w:val="Pied de page Car"/>
    <w:basedOn w:val="Policepardfaut"/>
    <w:link w:val="Pieddepage"/>
    <w:rsid w:val="002D1DB9"/>
    <w:rPr>
      <w:sz w:val="24"/>
      <w:szCs w:val="24"/>
      <w:lang w:val="fr-FR" w:eastAsia="fr-FR"/>
    </w:rPr>
  </w:style>
  <w:style w:type="paragraph" w:styleId="Textedebulles">
    <w:name w:val="Balloon Text"/>
    <w:basedOn w:val="Normal"/>
    <w:link w:val="TextedebullesCar"/>
    <w:rsid w:val="002D1DB9"/>
    <w:rPr>
      <w:rFonts w:ascii="Tahoma" w:hAnsi="Tahoma" w:cs="Tahoma"/>
      <w:sz w:val="16"/>
      <w:szCs w:val="16"/>
    </w:rPr>
  </w:style>
  <w:style w:type="character" w:customStyle="1" w:styleId="TextedebullesCar">
    <w:name w:val="Texte de bulles Car"/>
    <w:basedOn w:val="Policepardfaut"/>
    <w:link w:val="Textedebulles"/>
    <w:rsid w:val="002D1DB9"/>
    <w:rPr>
      <w:rFonts w:ascii="Tahoma" w:hAnsi="Tahoma" w:cs="Tahoma"/>
      <w:sz w:val="16"/>
      <w:szCs w:val="16"/>
      <w:lang w:val="fr-FR" w:eastAsia="fr-FR"/>
    </w:rPr>
  </w:style>
  <w:style w:type="paragraph" w:styleId="Paragraphedeliste">
    <w:name w:val="List Paragraph"/>
    <w:basedOn w:val="Normal"/>
    <w:uiPriority w:val="34"/>
    <w:qFormat/>
    <w:rsid w:val="002D1DB9"/>
    <w:pPr>
      <w:ind w:left="708"/>
    </w:pPr>
  </w:style>
  <w:style w:type="paragraph" w:styleId="Notedebasdepage">
    <w:name w:val="footnote text"/>
    <w:basedOn w:val="Normal"/>
    <w:link w:val="NotedebasdepageCar"/>
    <w:rsid w:val="00426252"/>
    <w:rPr>
      <w:sz w:val="20"/>
      <w:szCs w:val="20"/>
    </w:rPr>
  </w:style>
  <w:style w:type="character" w:customStyle="1" w:styleId="NotedebasdepageCar">
    <w:name w:val="Note de bas de page Car"/>
    <w:basedOn w:val="Policepardfaut"/>
    <w:link w:val="Notedebasdepage"/>
    <w:rsid w:val="00426252"/>
    <w:rPr>
      <w:lang w:val="fr-FR" w:eastAsia="fr-FR"/>
    </w:rPr>
  </w:style>
  <w:style w:type="character" w:styleId="Appelnotedebasdep">
    <w:name w:val="footnote reference"/>
    <w:basedOn w:val="Policepardfaut"/>
    <w:rsid w:val="004262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4C960-4EE7-496F-85F1-4AB918D5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4553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Enseignement des langues</vt:lpstr>
    </vt:vector>
  </TitlesOfParts>
  <Company>Hewlett-Packard Company</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Enseignement des langues</dc:title>
  <dc:creator>Véronique</dc:creator>
  <cp:lastModifiedBy>Georges Pasquier</cp:lastModifiedBy>
  <cp:revision>2</cp:revision>
  <cp:lastPrinted>2012-08-13T13:39:00Z</cp:lastPrinted>
  <dcterms:created xsi:type="dcterms:W3CDTF">2013-08-12T14:00:00Z</dcterms:created>
  <dcterms:modified xsi:type="dcterms:W3CDTF">2013-08-12T14:00:00Z</dcterms:modified>
</cp:coreProperties>
</file>